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5F3F" w14:textId="77777777" w:rsidR="007C4DA0" w:rsidRPr="0043582B" w:rsidRDefault="007C4DA0" w:rsidP="00EE1398">
      <w:pPr>
        <w:pStyle w:val="ListParagraph"/>
        <w:widowControl/>
        <w:numPr>
          <w:ilvl w:val="0"/>
          <w:numId w:val="1"/>
        </w:numPr>
        <w:autoSpaceDE/>
        <w:autoSpaceDN/>
        <w:spacing w:before="240"/>
        <w:ind w:hanging="720"/>
        <w:jc w:val="both"/>
        <w:rPr>
          <w:bCs/>
          <w:spacing w:val="-3"/>
        </w:rPr>
      </w:pPr>
      <w:r w:rsidRPr="0043582B">
        <w:rPr>
          <w:bCs/>
          <w:spacing w:val="-3"/>
        </w:rPr>
        <w:t xml:space="preserve">The Queensland Government is committed to improving the lives and rights of all women and girls in Queensland. </w:t>
      </w:r>
    </w:p>
    <w:p w14:paraId="3B08BE38" w14:textId="77777777" w:rsidR="007C4DA0" w:rsidRPr="0043582B" w:rsidRDefault="007C4DA0" w:rsidP="00EE139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before="240"/>
        <w:ind w:hanging="720"/>
        <w:jc w:val="both"/>
        <w:rPr>
          <w:bCs/>
          <w:spacing w:val="-3"/>
        </w:rPr>
      </w:pPr>
      <w:r w:rsidRPr="0043582B">
        <w:rPr>
          <w:bCs/>
          <w:spacing w:val="-3"/>
        </w:rPr>
        <w:t>In February 2022, the new Queensland Women’s Strategy 2022-27 (the Strategy) was developed, supported by extensive consultation and research, to build on the significant progress made under the Women’s Strategy 2016-21.</w:t>
      </w:r>
    </w:p>
    <w:p w14:paraId="59763083" w14:textId="34BE6232" w:rsidR="007C4DA0" w:rsidRPr="0043582B" w:rsidRDefault="007C4DA0" w:rsidP="00EE139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before="240"/>
        <w:ind w:hanging="720"/>
        <w:jc w:val="both"/>
        <w:rPr>
          <w:bCs/>
          <w:spacing w:val="-3"/>
        </w:rPr>
      </w:pPr>
      <w:r w:rsidRPr="0043582B">
        <w:rPr>
          <w:bCs/>
          <w:spacing w:val="-3"/>
        </w:rPr>
        <w:t>The Strategy sets out the Government’s plan and commitment to support Queensland women and girls to succeed and contribute to Queensland society underpinned by five key impact areas, with a total of 47 commitments across the areas of:</w:t>
      </w:r>
    </w:p>
    <w:p w14:paraId="263002BC" w14:textId="7C6C4E79" w:rsidR="007C4DA0" w:rsidRPr="0043582B" w:rsidRDefault="007C4DA0" w:rsidP="00EE1398">
      <w:pPr>
        <w:widowControl/>
        <w:numPr>
          <w:ilvl w:val="1"/>
          <w:numId w:val="6"/>
        </w:numPr>
        <w:autoSpaceDE/>
        <w:autoSpaceDN/>
        <w:spacing w:before="120"/>
        <w:ind w:left="1446" w:hanging="720"/>
        <w:jc w:val="both"/>
        <w:rPr>
          <w:bCs/>
          <w:spacing w:val="-3"/>
        </w:rPr>
      </w:pPr>
      <w:r w:rsidRPr="0043582B">
        <w:rPr>
          <w:bCs/>
          <w:spacing w:val="-3"/>
        </w:rPr>
        <w:t xml:space="preserve">Women’s </w:t>
      </w:r>
      <w:r w:rsidR="00691B07">
        <w:rPr>
          <w:bCs/>
          <w:spacing w:val="-3"/>
        </w:rPr>
        <w:t>E</w:t>
      </w:r>
      <w:r w:rsidRPr="0043582B">
        <w:rPr>
          <w:bCs/>
          <w:spacing w:val="-3"/>
        </w:rPr>
        <w:t xml:space="preserve">conomic </w:t>
      </w:r>
      <w:r w:rsidR="00691B07">
        <w:rPr>
          <w:bCs/>
          <w:spacing w:val="-3"/>
        </w:rPr>
        <w:t>S</w:t>
      </w:r>
      <w:r w:rsidRPr="0043582B">
        <w:rPr>
          <w:bCs/>
          <w:spacing w:val="-3"/>
        </w:rPr>
        <w:t>ecurity;</w:t>
      </w:r>
    </w:p>
    <w:p w14:paraId="1AE5A46A" w14:textId="63A09E31" w:rsidR="007C4DA0" w:rsidRPr="0043582B" w:rsidRDefault="007C4DA0" w:rsidP="00EE1398">
      <w:pPr>
        <w:widowControl/>
        <w:numPr>
          <w:ilvl w:val="1"/>
          <w:numId w:val="6"/>
        </w:numPr>
        <w:autoSpaceDE/>
        <w:autoSpaceDN/>
        <w:spacing w:before="120"/>
        <w:ind w:left="1446" w:hanging="720"/>
        <w:jc w:val="both"/>
        <w:rPr>
          <w:bCs/>
          <w:spacing w:val="-3"/>
        </w:rPr>
      </w:pPr>
      <w:r w:rsidRPr="0043582B">
        <w:rPr>
          <w:bCs/>
          <w:spacing w:val="-3"/>
        </w:rPr>
        <w:t xml:space="preserve">Women’s </w:t>
      </w:r>
      <w:r w:rsidR="00691B07">
        <w:rPr>
          <w:bCs/>
          <w:spacing w:val="-3"/>
        </w:rPr>
        <w:t>S</w:t>
      </w:r>
      <w:r w:rsidRPr="0043582B">
        <w:rPr>
          <w:bCs/>
          <w:spacing w:val="-3"/>
        </w:rPr>
        <w:t xml:space="preserve">afety and </w:t>
      </w:r>
      <w:r w:rsidR="00691B07">
        <w:rPr>
          <w:bCs/>
          <w:spacing w:val="-3"/>
        </w:rPr>
        <w:t>W</w:t>
      </w:r>
      <w:r w:rsidRPr="0043582B">
        <w:rPr>
          <w:bCs/>
          <w:spacing w:val="-3"/>
        </w:rPr>
        <w:t>ellbeing;</w:t>
      </w:r>
    </w:p>
    <w:p w14:paraId="76E1403C" w14:textId="2399BCB0" w:rsidR="007C4DA0" w:rsidRPr="0043582B" w:rsidRDefault="007C4DA0" w:rsidP="00EE1398">
      <w:pPr>
        <w:widowControl/>
        <w:numPr>
          <w:ilvl w:val="1"/>
          <w:numId w:val="6"/>
        </w:numPr>
        <w:autoSpaceDE/>
        <w:autoSpaceDN/>
        <w:spacing w:before="120"/>
        <w:ind w:left="1446" w:hanging="720"/>
        <w:jc w:val="both"/>
        <w:rPr>
          <w:bCs/>
          <w:spacing w:val="-3"/>
        </w:rPr>
      </w:pPr>
      <w:r w:rsidRPr="0043582B">
        <w:rPr>
          <w:bCs/>
          <w:spacing w:val="-3"/>
        </w:rPr>
        <w:t xml:space="preserve">Elevating First Nations </w:t>
      </w:r>
      <w:r w:rsidR="00691B07">
        <w:rPr>
          <w:bCs/>
          <w:spacing w:val="-3"/>
        </w:rPr>
        <w:t>W</w:t>
      </w:r>
      <w:r w:rsidRPr="0043582B">
        <w:rPr>
          <w:bCs/>
          <w:spacing w:val="-3"/>
        </w:rPr>
        <w:t>omen;</w:t>
      </w:r>
    </w:p>
    <w:p w14:paraId="3A6A33CF" w14:textId="0ABDF16A" w:rsidR="007C4DA0" w:rsidRPr="0043582B" w:rsidRDefault="007C4DA0" w:rsidP="00EE1398">
      <w:pPr>
        <w:widowControl/>
        <w:numPr>
          <w:ilvl w:val="1"/>
          <w:numId w:val="6"/>
        </w:numPr>
        <w:autoSpaceDE/>
        <w:autoSpaceDN/>
        <w:spacing w:before="120"/>
        <w:ind w:left="1446" w:hanging="720"/>
        <w:jc w:val="both"/>
        <w:rPr>
          <w:bCs/>
          <w:spacing w:val="-3"/>
        </w:rPr>
      </w:pPr>
      <w:r w:rsidRPr="0043582B">
        <w:rPr>
          <w:bCs/>
          <w:spacing w:val="-3"/>
        </w:rPr>
        <w:t xml:space="preserve">Women with </w:t>
      </w:r>
      <w:r w:rsidR="00691B07">
        <w:rPr>
          <w:bCs/>
          <w:spacing w:val="-3"/>
        </w:rPr>
        <w:t>D</w:t>
      </w:r>
      <w:r w:rsidRPr="0043582B">
        <w:rPr>
          <w:bCs/>
          <w:spacing w:val="-3"/>
        </w:rPr>
        <w:t xml:space="preserve">iverse </w:t>
      </w:r>
      <w:r w:rsidR="00691B07">
        <w:rPr>
          <w:bCs/>
          <w:spacing w:val="-3"/>
        </w:rPr>
        <w:t>B</w:t>
      </w:r>
      <w:r w:rsidRPr="0043582B">
        <w:rPr>
          <w:bCs/>
          <w:spacing w:val="-3"/>
        </w:rPr>
        <w:t xml:space="preserve">ackgrounds and </w:t>
      </w:r>
      <w:r w:rsidR="00691B07">
        <w:rPr>
          <w:bCs/>
          <w:spacing w:val="-3"/>
        </w:rPr>
        <w:t>E</w:t>
      </w:r>
      <w:r w:rsidRPr="0043582B">
        <w:rPr>
          <w:bCs/>
          <w:spacing w:val="-3"/>
        </w:rPr>
        <w:t>xperiences; and</w:t>
      </w:r>
    </w:p>
    <w:p w14:paraId="17526957" w14:textId="29802937" w:rsidR="007C4DA0" w:rsidRPr="0043582B" w:rsidRDefault="007C4DA0" w:rsidP="00EE1398">
      <w:pPr>
        <w:widowControl/>
        <w:numPr>
          <w:ilvl w:val="1"/>
          <w:numId w:val="6"/>
        </w:numPr>
        <w:autoSpaceDE/>
        <w:autoSpaceDN/>
        <w:spacing w:before="120"/>
        <w:ind w:left="1446" w:hanging="720"/>
        <w:jc w:val="both"/>
        <w:rPr>
          <w:bCs/>
          <w:spacing w:val="-3"/>
        </w:rPr>
      </w:pPr>
      <w:r w:rsidRPr="0043582B">
        <w:rPr>
          <w:bCs/>
          <w:spacing w:val="-3"/>
        </w:rPr>
        <w:t xml:space="preserve">Empowerment and </w:t>
      </w:r>
      <w:r w:rsidR="00691B07">
        <w:rPr>
          <w:bCs/>
          <w:spacing w:val="-3"/>
        </w:rPr>
        <w:t>R</w:t>
      </w:r>
      <w:r w:rsidRPr="0043582B">
        <w:rPr>
          <w:bCs/>
          <w:spacing w:val="-3"/>
        </w:rPr>
        <w:t>ecognition.</w:t>
      </w:r>
    </w:p>
    <w:p w14:paraId="4DDCD2B7" w14:textId="1CB58760" w:rsidR="007C4DA0" w:rsidRPr="0043582B" w:rsidRDefault="007C4DA0" w:rsidP="00EE139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before="240"/>
        <w:ind w:hanging="720"/>
        <w:jc w:val="both"/>
        <w:rPr>
          <w:bCs/>
          <w:spacing w:val="-3"/>
        </w:rPr>
      </w:pPr>
      <w:r w:rsidRPr="0043582B">
        <w:rPr>
          <w:bCs/>
          <w:spacing w:val="-3"/>
        </w:rPr>
        <w:t xml:space="preserve">As part of the </w:t>
      </w:r>
      <w:r w:rsidR="00C772A6">
        <w:rPr>
          <w:bCs/>
          <w:spacing w:val="-3"/>
        </w:rPr>
        <w:t>oversight and accountability mechanisms</w:t>
      </w:r>
      <w:r w:rsidRPr="0043582B">
        <w:rPr>
          <w:bCs/>
          <w:spacing w:val="-3"/>
        </w:rPr>
        <w:t xml:space="preserve"> of the Strategy</w:t>
      </w:r>
      <w:r w:rsidR="008D3013">
        <w:rPr>
          <w:bCs/>
          <w:spacing w:val="-3"/>
        </w:rPr>
        <w:t>,</w:t>
      </w:r>
      <w:r w:rsidRPr="0043582B">
        <w:rPr>
          <w:bCs/>
          <w:spacing w:val="-3"/>
        </w:rPr>
        <w:t xml:space="preserve"> the Queensland Government committed to the public release of an Annual Queensland Women’s Statement</w:t>
      </w:r>
      <w:r>
        <w:rPr>
          <w:bCs/>
          <w:spacing w:val="-3"/>
        </w:rPr>
        <w:t xml:space="preserve"> and Gender Equality Report Cards</w:t>
      </w:r>
      <w:r w:rsidRPr="0043582B">
        <w:rPr>
          <w:bCs/>
          <w:spacing w:val="-3"/>
        </w:rPr>
        <w:t xml:space="preserve">, incorporating the reporting requirements from each government department. </w:t>
      </w:r>
    </w:p>
    <w:p w14:paraId="4DF34425" w14:textId="05192D1D" w:rsidR="007C4DA0" w:rsidRPr="00280DCA" w:rsidRDefault="009A6AE1" w:rsidP="00EE139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before="240"/>
        <w:ind w:hanging="720"/>
        <w:jc w:val="both"/>
        <w:rPr>
          <w:bCs/>
          <w:spacing w:val="-3"/>
        </w:rPr>
      </w:pPr>
      <w:r>
        <w:rPr>
          <w:u w:val="single"/>
        </w:rPr>
        <w:t>Cabinet</w:t>
      </w:r>
      <w:r w:rsidR="007C4DA0" w:rsidRPr="008F44CD">
        <w:rPr>
          <w:u w:val="single"/>
        </w:rPr>
        <w:t xml:space="preserve"> approved</w:t>
      </w:r>
      <w:r w:rsidR="007C4DA0">
        <w:t xml:space="preserve"> the </w:t>
      </w:r>
      <w:r w:rsidR="007C4DA0" w:rsidRPr="000041B4">
        <w:rPr>
          <w:i/>
          <w:iCs/>
        </w:rPr>
        <w:t>Annual Queensland Women’s Statement 2022</w:t>
      </w:r>
      <w:r w:rsidR="007C4DA0">
        <w:t xml:space="preserve"> for </w:t>
      </w:r>
      <w:r w:rsidR="007C4DA0" w:rsidRPr="00EE1398">
        <w:rPr>
          <w:bCs/>
          <w:spacing w:val="-3"/>
        </w:rPr>
        <w:t>publication</w:t>
      </w:r>
      <w:r w:rsidR="007C4DA0">
        <w:t xml:space="preserve">. </w:t>
      </w:r>
    </w:p>
    <w:p w14:paraId="088A2606" w14:textId="289C161D" w:rsidR="007C4DA0" w:rsidRPr="00CE6FBA" w:rsidRDefault="009A6AE1" w:rsidP="00EE139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before="240"/>
        <w:ind w:hanging="720"/>
        <w:jc w:val="both"/>
        <w:rPr>
          <w:bCs/>
          <w:spacing w:val="-3"/>
        </w:rPr>
      </w:pPr>
      <w:r>
        <w:rPr>
          <w:u w:val="single"/>
        </w:rPr>
        <w:t>Cabinet</w:t>
      </w:r>
      <w:r w:rsidR="007C4DA0" w:rsidRPr="008F44CD">
        <w:rPr>
          <w:u w:val="single"/>
        </w:rPr>
        <w:t xml:space="preserve"> approved</w:t>
      </w:r>
      <w:r w:rsidR="007C4DA0">
        <w:t xml:space="preserve"> the publication of the Gender Equality report Cards for 2022.</w:t>
      </w:r>
    </w:p>
    <w:p w14:paraId="7E66DFD0" w14:textId="1B49F47B" w:rsidR="007C4DA0" w:rsidRPr="00C07656" w:rsidRDefault="007C4DA0" w:rsidP="00EE139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before="360"/>
        <w:ind w:hanging="720"/>
        <w:jc w:val="both"/>
      </w:pPr>
      <w:r w:rsidRPr="00C07656">
        <w:rPr>
          <w:i/>
          <w:u w:val="single"/>
        </w:rPr>
        <w:t>Attachments</w:t>
      </w:r>
      <w:r w:rsidR="00B27F42">
        <w:rPr>
          <w:iCs/>
        </w:rPr>
        <w:t>:</w:t>
      </w:r>
    </w:p>
    <w:p w14:paraId="4BA53C7A" w14:textId="434C8D61" w:rsidR="007C4DA0" w:rsidRPr="00EE1398" w:rsidRDefault="00056369" w:rsidP="00EE1398">
      <w:pPr>
        <w:widowControl/>
        <w:numPr>
          <w:ilvl w:val="1"/>
          <w:numId w:val="6"/>
        </w:numPr>
        <w:autoSpaceDE/>
        <w:autoSpaceDN/>
        <w:spacing w:before="120"/>
        <w:ind w:left="1446" w:hanging="720"/>
        <w:jc w:val="both"/>
        <w:rPr>
          <w:bCs/>
          <w:spacing w:val="-3"/>
        </w:rPr>
      </w:pPr>
      <w:hyperlink r:id="rId9" w:history="1">
        <w:r w:rsidR="007C4DA0" w:rsidRPr="00517FCA">
          <w:rPr>
            <w:rStyle w:val="Hyperlink"/>
          </w:rPr>
          <w:t xml:space="preserve">Annual </w:t>
        </w:r>
        <w:r w:rsidR="007C4DA0" w:rsidRPr="00517FCA">
          <w:rPr>
            <w:rStyle w:val="Hyperlink"/>
            <w:bCs/>
            <w:spacing w:val="-3"/>
          </w:rPr>
          <w:t>Queensland Women’s Statement 2022</w:t>
        </w:r>
      </w:hyperlink>
    </w:p>
    <w:p w14:paraId="3C7E05BA" w14:textId="3498D982" w:rsidR="00056369" w:rsidRDefault="00056369" w:rsidP="00EE1398">
      <w:pPr>
        <w:widowControl/>
        <w:numPr>
          <w:ilvl w:val="1"/>
          <w:numId w:val="6"/>
        </w:numPr>
        <w:autoSpaceDE/>
        <w:autoSpaceDN/>
        <w:spacing w:before="120"/>
        <w:ind w:left="1446" w:hanging="720"/>
        <w:jc w:val="both"/>
      </w:pPr>
      <w:hyperlink r:id="rId10" w:history="1">
        <w:r w:rsidR="007C4DA0" w:rsidRPr="00517FCA">
          <w:rPr>
            <w:rStyle w:val="Hyperlink"/>
            <w:bCs/>
            <w:spacing w:val="-3"/>
          </w:rPr>
          <w:t>Gender Equalit</w:t>
        </w:r>
        <w:r w:rsidR="007C4DA0" w:rsidRPr="00517FCA">
          <w:rPr>
            <w:rStyle w:val="Hyperlink"/>
          </w:rPr>
          <w:t>y Report Cards for 2022</w:t>
        </w:r>
      </w:hyperlink>
    </w:p>
    <w:sectPr w:rsidR="00EB4433" w:rsidSect="00B27F42">
      <w:headerReference w:type="even" r:id="rId11"/>
      <w:headerReference w:type="default" r:id="rId12"/>
      <w:head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AA1A" w14:textId="77777777" w:rsidR="00A7125D" w:rsidRDefault="00A7125D" w:rsidP="007C4DA0">
      <w:r>
        <w:separator/>
      </w:r>
    </w:p>
  </w:endnote>
  <w:endnote w:type="continuationSeparator" w:id="0">
    <w:p w14:paraId="3C5BFB54" w14:textId="77777777" w:rsidR="00A7125D" w:rsidRDefault="00A7125D" w:rsidP="007C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038C" w14:textId="77777777" w:rsidR="00A7125D" w:rsidRDefault="00A7125D" w:rsidP="007C4DA0">
      <w:r>
        <w:separator/>
      </w:r>
    </w:p>
  </w:footnote>
  <w:footnote w:type="continuationSeparator" w:id="0">
    <w:p w14:paraId="70F4195E" w14:textId="77777777" w:rsidR="00A7125D" w:rsidRDefault="00A7125D" w:rsidP="007C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E56C" w14:textId="37A14D0D" w:rsidR="00056369" w:rsidRDefault="0005636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15B5C1" wp14:editId="066A3DE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525686091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BC7CA2" w14:textId="5A060667" w:rsidR="00056369" w:rsidRPr="00056369" w:rsidRDefault="00056369" w:rsidP="0005636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05636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15B5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00BC7CA2" w14:textId="5A060667" w:rsidR="00056369" w:rsidRPr="00056369" w:rsidRDefault="00056369" w:rsidP="0005636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056369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D103" w14:textId="2B6FACE3" w:rsidR="00B27F42" w:rsidRPr="00937A4A" w:rsidRDefault="00056369" w:rsidP="00B27F4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>
      <w:rPr>
        <w:b/>
        <w:noProof/>
        <w:sz w:val="28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64848C5" wp14:editId="57D9FFE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749200364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AC9FAD" w14:textId="7F768E07" w:rsidR="00056369" w:rsidRPr="00056369" w:rsidRDefault="00056369" w:rsidP="0005636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05636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4848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EAC9FAD" w14:textId="7F768E07" w:rsidR="00056369" w:rsidRPr="00056369" w:rsidRDefault="00056369" w:rsidP="0005636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056369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7F42" w:rsidRPr="00937A4A">
      <w:rPr>
        <w:b/>
        <w:sz w:val="28"/>
      </w:rPr>
      <w:t>Queensland Government</w:t>
    </w:r>
  </w:p>
  <w:p w14:paraId="1C8A1045" w14:textId="77777777" w:rsidR="00B27F42" w:rsidRPr="00937A4A" w:rsidRDefault="00B27F42" w:rsidP="00B27F4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779EF909" w14:textId="7ECB7144" w:rsidR="00B27F42" w:rsidRPr="00937A4A" w:rsidRDefault="00B27F42" w:rsidP="00B27F4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February 2023</w:t>
    </w:r>
  </w:p>
  <w:p w14:paraId="28C4C389" w14:textId="04A783AA" w:rsidR="00B27F42" w:rsidRDefault="00B27F42" w:rsidP="00EE1398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B27F42">
      <w:rPr>
        <w:rFonts w:ascii="Arial" w:hAnsi="Arial" w:cs="Arial"/>
        <w:b/>
        <w:sz w:val="22"/>
        <w:szCs w:val="22"/>
        <w:u w:val="single"/>
      </w:rPr>
      <w:t>Annual Queensland Women’s Statement 2022 and Gender Equality Report Cards for 2022</w:t>
    </w:r>
  </w:p>
  <w:p w14:paraId="1F8E1C96" w14:textId="0267818F" w:rsidR="00B27F42" w:rsidRDefault="00B27F42" w:rsidP="00EE1398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B27F42"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29EB7AB7" w14:textId="77777777" w:rsidR="00B27F42" w:rsidRDefault="00B27F42" w:rsidP="00B27F42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DE49" w14:textId="19ABEBAA" w:rsidR="00056369" w:rsidRDefault="0005636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37C9A64" wp14:editId="24BB5F6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1412639633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8EEF7" w14:textId="1DF45A51" w:rsidR="00056369" w:rsidRPr="00056369" w:rsidRDefault="00056369" w:rsidP="0005636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05636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C9A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39F8EEF7" w14:textId="1DF45A51" w:rsidR="00056369" w:rsidRPr="00056369" w:rsidRDefault="00056369" w:rsidP="0005636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056369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43C"/>
    <w:multiLevelType w:val="hybridMultilevel"/>
    <w:tmpl w:val="D3FE62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57F7F"/>
    <w:multiLevelType w:val="hybridMultilevel"/>
    <w:tmpl w:val="DA1843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252A23"/>
    <w:multiLevelType w:val="hybridMultilevel"/>
    <w:tmpl w:val="92D2F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3">
      <w:start w:val="1"/>
      <w:numFmt w:val="upperRoman"/>
      <w:lvlText w:val="%2."/>
      <w:lvlJc w:val="right"/>
      <w:pPr>
        <w:tabs>
          <w:tab w:val="num" w:pos="1443"/>
        </w:tabs>
        <w:ind w:left="1443" w:hanging="36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D2319D"/>
    <w:multiLevelType w:val="hybridMultilevel"/>
    <w:tmpl w:val="11E257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F5880F5E"/>
    <w:lvl w:ilvl="0" w:tplc="FD3ED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906804">
    <w:abstractNumId w:val="5"/>
  </w:num>
  <w:num w:numId="2" w16cid:durableId="1112286038">
    <w:abstractNumId w:val="4"/>
  </w:num>
  <w:num w:numId="3" w16cid:durableId="1573009649">
    <w:abstractNumId w:val="1"/>
  </w:num>
  <w:num w:numId="4" w16cid:durableId="968323710">
    <w:abstractNumId w:val="3"/>
  </w:num>
  <w:num w:numId="5" w16cid:durableId="449782453">
    <w:abstractNumId w:val="2"/>
  </w:num>
  <w:num w:numId="6" w16cid:durableId="90722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A0"/>
    <w:rsid w:val="00037F9B"/>
    <w:rsid w:val="00056369"/>
    <w:rsid w:val="00066EBC"/>
    <w:rsid w:val="00164507"/>
    <w:rsid w:val="00203A3D"/>
    <w:rsid w:val="00222583"/>
    <w:rsid w:val="003275C0"/>
    <w:rsid w:val="0039074A"/>
    <w:rsid w:val="004F40DC"/>
    <w:rsid w:val="00517FCA"/>
    <w:rsid w:val="005A3538"/>
    <w:rsid w:val="005F658B"/>
    <w:rsid w:val="00691B07"/>
    <w:rsid w:val="007B3FB8"/>
    <w:rsid w:val="007C4DA0"/>
    <w:rsid w:val="00806E6E"/>
    <w:rsid w:val="00892900"/>
    <w:rsid w:val="008D3013"/>
    <w:rsid w:val="009268FE"/>
    <w:rsid w:val="00982BEF"/>
    <w:rsid w:val="009A6AE1"/>
    <w:rsid w:val="00A25D90"/>
    <w:rsid w:val="00A319D3"/>
    <w:rsid w:val="00A7125D"/>
    <w:rsid w:val="00A91FE9"/>
    <w:rsid w:val="00AB37F0"/>
    <w:rsid w:val="00AC28F2"/>
    <w:rsid w:val="00B27F42"/>
    <w:rsid w:val="00BA486B"/>
    <w:rsid w:val="00C7058A"/>
    <w:rsid w:val="00C772A6"/>
    <w:rsid w:val="00CA2CBB"/>
    <w:rsid w:val="00E12A88"/>
    <w:rsid w:val="00EA41C6"/>
    <w:rsid w:val="00E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178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DA0"/>
    <w:pPr>
      <w:ind w:left="580" w:hanging="360"/>
    </w:pPr>
  </w:style>
  <w:style w:type="paragraph" w:styleId="Header">
    <w:name w:val="header"/>
    <w:basedOn w:val="Normal"/>
    <w:link w:val="HeaderChar"/>
    <w:uiPriority w:val="99"/>
    <w:unhideWhenUsed/>
    <w:rsid w:val="007C4DA0"/>
    <w:pPr>
      <w:widowControl/>
      <w:tabs>
        <w:tab w:val="center" w:pos="4513"/>
        <w:tab w:val="right" w:pos="9026"/>
      </w:tabs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7C4DA0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C4D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DA0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7B3FB8"/>
    <w:pPr>
      <w:spacing w:after="0" w:line="240" w:lineRule="auto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06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6E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E6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E6E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7F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F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7F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pcqld.sharepoint.com/sites/DPC-CABINETSERVICES/Shared%20Documents/General/Proactive%20Release/ToBeProcessed/2023/Feb/WomenStat/Attachments/Reports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dpcqld.sharepoint.com/sites/DPC-CABINETSERVICES/Shared%20Documents/General/Proactive%20Release/ToBeProcessed/2023/Feb/WomenStat/Attachments/Statemen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7" ma:contentTypeDescription="Create a new document." ma:contentTypeScope="" ma:versionID="af6f5430eb7d810b497d2a680f43df08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9e5b09456ee92f63c793c2b07d46b7f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4988C-3B0D-43BA-B8AF-B2B9FD56F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A6377-CF7B-4F69-8866-E127C13B07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1379</Characters>
  <Application>Microsoft Office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Base>https://www.cabinet.qld.gov.au/documents/2023/Feb/WomenStat/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2023-05-02T04:03:00Z</dcterms:created>
  <dcterms:modified xsi:type="dcterms:W3CDTF">2023-09-26T04:08:00Z</dcterms:modified>
  <cp:category>Women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54332b91,1f55554b,2ca7e3ec</vt:lpwstr>
  </property>
  <property fmtid="{D5CDD505-2E9C-101B-9397-08002B2CF9AE}" pid="3" name="ClassificationContentMarkingHeaderFontProps">
    <vt:lpwstr>#008000,20,Calibri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dbba12b5-5c44-45c1-8d23-ce231b9c6da8_Enabled">
    <vt:lpwstr>true</vt:lpwstr>
  </property>
  <property fmtid="{D5CDD505-2E9C-101B-9397-08002B2CF9AE}" pid="6" name="MSIP_Label_dbba12b5-5c44-45c1-8d23-ce231b9c6da8_SetDate">
    <vt:lpwstr>2023-09-26T04:08:42Z</vt:lpwstr>
  </property>
  <property fmtid="{D5CDD505-2E9C-101B-9397-08002B2CF9AE}" pid="7" name="MSIP_Label_dbba12b5-5c44-45c1-8d23-ce231b9c6da8_Method">
    <vt:lpwstr>Standard</vt:lpwstr>
  </property>
  <property fmtid="{D5CDD505-2E9C-101B-9397-08002B2CF9AE}" pid="8" name="MSIP_Label_dbba12b5-5c44-45c1-8d23-ce231b9c6da8_Name">
    <vt:lpwstr>OFFICIAL-PILOT</vt:lpwstr>
  </property>
  <property fmtid="{D5CDD505-2E9C-101B-9397-08002B2CF9AE}" pid="9" name="MSIP_Label_dbba12b5-5c44-45c1-8d23-ce231b9c6da8_SiteId">
    <vt:lpwstr>51778d2a-a6ab-4c76-97dc-782782d65046</vt:lpwstr>
  </property>
  <property fmtid="{D5CDD505-2E9C-101B-9397-08002B2CF9AE}" pid="10" name="MSIP_Label_dbba12b5-5c44-45c1-8d23-ce231b9c6da8_ActionId">
    <vt:lpwstr>f55a4b0c-f27f-4259-abfd-f1efee3d18e6</vt:lpwstr>
  </property>
  <property fmtid="{D5CDD505-2E9C-101B-9397-08002B2CF9AE}" pid="11" name="MSIP_Label_dbba12b5-5c44-45c1-8d23-ce231b9c6da8_ContentBits">
    <vt:lpwstr>1</vt:lpwstr>
  </property>
</Properties>
</file>